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CE1446">
      <w:pPr>
        <w:kinsoku w:val="0"/>
        <w:autoSpaceDE w:val="0"/>
        <w:autoSpaceDN w:val="0"/>
        <w:adjustRightInd w:val="0"/>
        <w:snapToGrid w:val="0"/>
        <w:spacing w:before="295" w:line="226" w:lineRule="auto"/>
        <w:ind w:left="127"/>
        <w:jc w:val="left"/>
        <w:textAlignment w:val="baseline"/>
        <w:outlineLvl w:val="0"/>
        <w:rPr>
          <w:rFonts w:hint="eastAsia" w:ascii="Arial" w:hAnsi="Arial" w:eastAsia="仿宋" w:cs="Arial"/>
          <w:snapToGrid w:val="0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3"/>
          <w:kern w:val="0"/>
          <w:sz w:val="31"/>
          <w:szCs w:val="31"/>
          <w:lang w:val="en-US" w:eastAsia="zh-CN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宋体" w:hAnsi="宋体" w:eastAsia="宋体" w:cs="宋体"/>
          <w:snapToGrid w:val="0"/>
          <w:color w:val="000000"/>
          <w:spacing w:val="3"/>
          <w:kern w:val="0"/>
          <w:sz w:val="31"/>
          <w:szCs w:val="31"/>
          <w:lang w:val="en-US" w:eastAsia="en-US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宋体" w:hAnsi="宋体" w:eastAsia="宋体" w:cs="宋体"/>
          <w:snapToGrid w:val="0"/>
          <w:color w:val="000000"/>
          <w:spacing w:val="-36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31"/>
          <w:szCs w:val="31"/>
          <w:lang w:val="en-US" w:eastAsia="zh-CN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采购清单</w:t>
      </w:r>
    </w:p>
    <w:p w14:paraId="6175C164">
      <w:pPr>
        <w:kinsoku w:val="0"/>
        <w:autoSpaceDE w:val="0"/>
        <w:autoSpaceDN w:val="0"/>
        <w:adjustRightInd w:val="0"/>
        <w:snapToGrid w:val="0"/>
        <w:spacing w:before="295" w:line="226" w:lineRule="auto"/>
        <w:ind w:left="127"/>
        <w:jc w:val="left"/>
        <w:textAlignment w:val="baseline"/>
        <w:outlineLvl w:val="0"/>
        <w:rPr>
          <w:rFonts w:hint="eastAsia" w:ascii="宋体" w:hAnsi="宋体" w:eastAsia="宋体" w:cs="宋体"/>
          <w:snapToGrid w:val="0"/>
          <w:color w:val="000000"/>
          <w:spacing w:val="3"/>
          <w:kern w:val="0"/>
          <w:sz w:val="31"/>
          <w:szCs w:val="31"/>
          <w:lang w:val="en-US" w:eastAsia="zh-CN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tbl>
      <w:tblPr>
        <w:tblStyle w:val="5"/>
        <w:tblpPr w:leftFromText="180" w:rightFromText="180" w:vertAnchor="text" w:horzAnchor="page" w:tblpX="1901" w:tblpY="2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2603"/>
        <w:gridCol w:w="2030"/>
        <w:gridCol w:w="2031"/>
      </w:tblGrid>
      <w:tr w14:paraId="5968E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0" w:type="dxa"/>
            <w:noWrap w:val="0"/>
            <w:vAlign w:val="center"/>
          </w:tcPr>
          <w:p w14:paraId="54711204"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603" w:type="dxa"/>
            <w:noWrap w:val="0"/>
            <w:vAlign w:val="center"/>
          </w:tcPr>
          <w:p w14:paraId="284107D9"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2030" w:type="dxa"/>
            <w:noWrap w:val="0"/>
            <w:vAlign w:val="center"/>
          </w:tcPr>
          <w:p w14:paraId="54A06DF3"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服务期限</w:t>
            </w:r>
          </w:p>
        </w:tc>
        <w:tc>
          <w:tcPr>
            <w:tcW w:w="2031" w:type="dxa"/>
            <w:noWrap w:val="0"/>
            <w:vAlign w:val="center"/>
          </w:tcPr>
          <w:p w14:paraId="3FE2A052">
            <w:pPr>
              <w:spacing w:line="580" w:lineRule="exact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</w:tr>
      <w:tr w14:paraId="591A3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top"/>
          </w:tcPr>
          <w:p w14:paraId="6E4DD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603" w:type="dxa"/>
            <w:noWrap w:val="0"/>
            <w:vAlign w:val="top"/>
          </w:tcPr>
          <w:p w14:paraId="2CB58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机房及网络运维</w:t>
            </w:r>
            <w:bookmarkStart w:id="2" w:name="_GoBack"/>
            <w:bookmarkEnd w:id="2"/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服务</w:t>
            </w:r>
          </w:p>
        </w:tc>
        <w:tc>
          <w:tcPr>
            <w:tcW w:w="2030" w:type="dxa"/>
            <w:vMerge w:val="restart"/>
            <w:noWrap w:val="0"/>
            <w:vAlign w:val="center"/>
          </w:tcPr>
          <w:p w14:paraId="00A7EA5B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1年</w:t>
            </w:r>
          </w:p>
        </w:tc>
        <w:tc>
          <w:tcPr>
            <w:tcW w:w="2031" w:type="dxa"/>
            <w:noWrap w:val="0"/>
            <w:vAlign w:val="center"/>
          </w:tcPr>
          <w:p w14:paraId="3CD8EAF4">
            <w:pPr>
              <w:spacing w:line="5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453E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noWrap w:val="0"/>
            <w:vAlign w:val="top"/>
          </w:tcPr>
          <w:p w14:paraId="76146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603" w:type="dxa"/>
            <w:noWrap w:val="0"/>
            <w:vAlign w:val="top"/>
          </w:tcPr>
          <w:p w14:paraId="477B3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综合布线新增点位服务80个（据实结算）</w:t>
            </w:r>
          </w:p>
        </w:tc>
        <w:tc>
          <w:tcPr>
            <w:tcW w:w="2030" w:type="dxa"/>
            <w:vMerge w:val="continue"/>
            <w:noWrap w:val="0"/>
            <w:vAlign w:val="top"/>
          </w:tcPr>
          <w:p w14:paraId="2FBF386F">
            <w:pPr>
              <w:spacing w:line="58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1" w:type="dxa"/>
            <w:noWrap w:val="0"/>
            <w:vAlign w:val="top"/>
          </w:tcPr>
          <w:p w14:paraId="6AB873A3">
            <w:pPr>
              <w:spacing w:line="580" w:lineRule="exac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1B0BC182">
      <w:pPr>
        <w:ind w:firstLine="42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47190606">
      <w:pPr>
        <w:ind w:firstLine="42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639FD2B9">
      <w:pPr>
        <w:ind w:firstLine="42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34653424">
      <w:pPr>
        <w:ind w:firstLine="42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40B458F5">
      <w:pPr>
        <w:ind w:firstLine="42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0CD13200">
      <w:pPr>
        <w:kinsoku w:val="0"/>
        <w:autoSpaceDE w:val="0"/>
        <w:autoSpaceDN w:val="0"/>
        <w:adjustRightInd w:val="0"/>
        <w:snapToGrid w:val="0"/>
        <w:spacing w:before="295" w:line="226" w:lineRule="auto"/>
        <w:jc w:val="left"/>
        <w:textAlignment w:val="baseline"/>
        <w:outlineLvl w:val="0"/>
        <w:rPr>
          <w:rFonts w:hint="eastAsia" w:ascii="宋体" w:hAnsi="宋体" w:eastAsia="宋体" w:cs="宋体"/>
          <w:snapToGrid w:val="0"/>
          <w:color w:val="000000"/>
          <w:spacing w:val="3"/>
          <w:kern w:val="0"/>
          <w:sz w:val="31"/>
          <w:szCs w:val="31"/>
          <w:lang w:val="en-US" w:eastAsia="zh-CN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6B21E176">
      <w:pPr>
        <w:kinsoku w:val="0"/>
        <w:autoSpaceDE w:val="0"/>
        <w:autoSpaceDN w:val="0"/>
        <w:adjustRightInd w:val="0"/>
        <w:snapToGrid w:val="0"/>
        <w:spacing w:before="295" w:line="226" w:lineRule="auto"/>
        <w:ind w:left="127"/>
        <w:jc w:val="left"/>
        <w:textAlignment w:val="baseline"/>
        <w:outlineLvl w:val="0"/>
        <w:rPr>
          <w:rFonts w:hint="eastAsia" w:ascii="Arial" w:hAnsi="Arial" w:eastAsia="仿宋" w:cs="Arial"/>
          <w:snapToGrid w:val="0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3"/>
          <w:kern w:val="0"/>
          <w:sz w:val="31"/>
          <w:szCs w:val="31"/>
          <w:lang w:val="en-US" w:eastAsia="zh-CN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napToGrid w:val="0"/>
          <w:color w:val="000000"/>
          <w:spacing w:val="3"/>
          <w:kern w:val="0"/>
          <w:sz w:val="31"/>
          <w:szCs w:val="31"/>
          <w:lang w:val="en-US" w:eastAsia="en-US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宋体" w:hAnsi="宋体" w:eastAsia="宋体" w:cs="宋体"/>
          <w:snapToGrid w:val="0"/>
          <w:color w:val="000000"/>
          <w:spacing w:val="-36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1"/>
          <w:szCs w:val="31"/>
          <w:lang w:val="en-US" w:eastAsia="en-US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服务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31"/>
          <w:szCs w:val="31"/>
          <w:lang w:val="en-US" w:eastAsia="zh-CN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内容</w:t>
      </w:r>
    </w:p>
    <w:p w14:paraId="7B37447A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ind w:firstLine="420" w:firstLineChars="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u w:val="none" w:color="auto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highlight w:val="none"/>
          <w:u w:val="none" w:color="auto"/>
          <w:lang w:val="en-US" w:eastAsia="zh-CN" w:bidi="ar-SA"/>
        </w:rPr>
        <w:t>采购方信息机房及弱电间</w:t>
      </w:r>
      <w:r>
        <w:rPr>
          <w:rFonts w:hint="eastAsia"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u w:val="none" w:color="auto"/>
          <w:lang w:val="en-US" w:eastAsia="zh-CN" w:bidi="ar-SA"/>
        </w:rPr>
        <w:t>所有设备及配套设施，全院网络系统（包括所有网络接入设备、综合布线、各网络终端口），根据医院信息系统故障应急预案，我们确保医院信息网络系统得到及时的维修、保养和专业服务，以保障其正常运转。在发生故障时，响应时间不超过10分钟，解决问题时间不超过30分钟，全年宕机时间控制在12小时以内。</w:t>
      </w:r>
    </w:p>
    <w:p w14:paraId="47EEDC42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ind w:firstLine="420" w:firstLineChars="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u w:val="none" w:color="auto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u w:val="none" w:color="auto"/>
          <w:lang w:val="en-US" w:eastAsia="zh-CN" w:bidi="ar-SA"/>
        </w:rPr>
        <w:t>在服务工作中，服务商应采取预防与应急响应并重的措施。定期对被维护的系统及相关环境进行预防性检查，防患于未然。对可能的突发故障事先制定应急预案，确保在出现紧急情况时，将业务系统的中断减至最低，确保业务系统服务的连续性。</w:t>
      </w:r>
    </w:p>
    <w:p w14:paraId="48BC9722">
      <w:pPr>
        <w:kinsoku w:val="0"/>
        <w:autoSpaceDE w:val="0"/>
        <w:autoSpaceDN w:val="0"/>
        <w:adjustRightInd w:val="0"/>
        <w:snapToGrid w:val="0"/>
        <w:spacing w:before="176" w:line="221" w:lineRule="auto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u w:val="none" w:color="auto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u w:val="none" w:color="auto"/>
          <w:lang w:val="en-US" w:eastAsia="zh-CN" w:bidi="ar-SA"/>
        </w:rPr>
        <w:t>主要维保项目内容：</w:t>
      </w:r>
    </w:p>
    <w:tbl>
      <w:tblPr>
        <w:tblStyle w:val="7"/>
        <w:tblW w:w="559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4726"/>
      </w:tblGrid>
      <w:tr w14:paraId="3FD520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70" w:type="dxa"/>
            <w:shd w:val="clear" w:color="auto" w:fill="EEECE1"/>
            <w:vAlign w:val="center"/>
          </w:tcPr>
          <w:p w14:paraId="129106D6">
            <w:pPr>
              <w:kinsoku w:val="0"/>
              <w:autoSpaceDE w:val="0"/>
              <w:autoSpaceDN w:val="0"/>
              <w:adjustRightInd w:val="0"/>
              <w:snapToGrid w:val="0"/>
              <w:spacing w:before="41" w:line="222" w:lineRule="auto"/>
              <w:ind w:left="207"/>
              <w:jc w:val="both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序号</w:t>
            </w:r>
          </w:p>
        </w:tc>
        <w:tc>
          <w:tcPr>
            <w:tcW w:w="4726" w:type="dxa"/>
            <w:shd w:val="clear" w:color="auto" w:fill="EEECE1"/>
            <w:vAlign w:val="center"/>
          </w:tcPr>
          <w:p w14:paraId="1C4FBE9D">
            <w:pPr>
              <w:kinsoku w:val="0"/>
              <w:autoSpaceDE w:val="0"/>
              <w:autoSpaceDN w:val="0"/>
              <w:adjustRightInd w:val="0"/>
              <w:snapToGrid w:val="0"/>
              <w:spacing w:before="41" w:line="222" w:lineRule="auto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项目内容</w:t>
            </w:r>
          </w:p>
        </w:tc>
      </w:tr>
      <w:tr w14:paraId="40625F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70" w:type="dxa"/>
            <w:vAlign w:val="center"/>
          </w:tcPr>
          <w:p w14:paraId="2EEBF0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1" w:line="197" w:lineRule="auto"/>
              <w:ind w:left="390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726" w:type="dxa"/>
            <w:vAlign w:val="center"/>
          </w:tcPr>
          <w:p w14:paraId="3EF864C1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全院机房服务器及存储设备维保服务</w:t>
            </w:r>
          </w:p>
        </w:tc>
      </w:tr>
      <w:tr w14:paraId="1E17DB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870" w:type="dxa"/>
            <w:vAlign w:val="center"/>
          </w:tcPr>
          <w:p w14:paraId="544355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0" w:line="197" w:lineRule="auto"/>
              <w:ind w:left="371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726" w:type="dxa"/>
            <w:vAlign w:val="center"/>
          </w:tcPr>
          <w:p w14:paraId="6372A786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全院网络设备维保服务（包含核心交换机、</w:t>
            </w:r>
          </w:p>
          <w:p w14:paraId="071BB5D2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接入交换机、光纤模块、网络配线架等）</w:t>
            </w:r>
          </w:p>
        </w:tc>
      </w:tr>
      <w:tr w14:paraId="107D6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870" w:type="dxa"/>
            <w:vAlign w:val="center"/>
          </w:tcPr>
          <w:p w14:paraId="7C3307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1" w:line="196" w:lineRule="auto"/>
              <w:ind w:left="374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726" w:type="dxa"/>
            <w:vAlign w:val="center"/>
          </w:tcPr>
          <w:p w14:paraId="352CDA2D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机房安全设备维保服务（包含防火墙、入侵</w:t>
            </w:r>
          </w:p>
          <w:p w14:paraId="4368A6BD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检测、网络准入等系统设备）</w:t>
            </w:r>
          </w:p>
        </w:tc>
      </w:tr>
      <w:tr w14:paraId="444D74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70" w:type="dxa"/>
            <w:vAlign w:val="center"/>
          </w:tcPr>
          <w:p w14:paraId="0DCDE3E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4" w:line="196" w:lineRule="auto"/>
              <w:ind w:left="367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726" w:type="dxa"/>
            <w:vAlign w:val="center"/>
          </w:tcPr>
          <w:p w14:paraId="766A8E83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数据库支持服务（包含oracle 、sql 等）</w:t>
            </w:r>
          </w:p>
        </w:tc>
      </w:tr>
      <w:tr w14:paraId="1E98D4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70" w:type="dxa"/>
            <w:vAlign w:val="center"/>
          </w:tcPr>
          <w:p w14:paraId="6D0F1D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5" w:line="194" w:lineRule="auto"/>
              <w:ind w:left="374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726" w:type="dxa"/>
            <w:vAlign w:val="center"/>
          </w:tcPr>
          <w:p w14:paraId="78FE5802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机房容灾备份系统维保服务</w:t>
            </w:r>
          </w:p>
        </w:tc>
      </w:tr>
      <w:tr w14:paraId="7639E3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70" w:type="dxa"/>
            <w:vAlign w:val="center"/>
          </w:tcPr>
          <w:p w14:paraId="26C3C1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3" w:line="196" w:lineRule="auto"/>
              <w:ind w:left="373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726" w:type="dxa"/>
            <w:vAlign w:val="center"/>
          </w:tcPr>
          <w:p w14:paraId="1489C487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虚拟化系统支持服务</w:t>
            </w:r>
          </w:p>
        </w:tc>
      </w:tr>
      <w:tr w14:paraId="02B2F4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870" w:type="dxa"/>
            <w:vAlign w:val="center"/>
          </w:tcPr>
          <w:p w14:paraId="640626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7" w:line="194" w:lineRule="auto"/>
              <w:ind w:left="375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726" w:type="dxa"/>
            <w:vAlign w:val="center"/>
          </w:tcPr>
          <w:p w14:paraId="7DED0E9B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系统迁移及数据迁移支持服务（包含</w:t>
            </w:r>
          </w:p>
          <w:p w14:paraId="3C02FD8F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HIS/PACS/LIS/EMR 等应用系统）</w:t>
            </w:r>
          </w:p>
        </w:tc>
      </w:tr>
      <w:tr w14:paraId="101E91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70" w:type="dxa"/>
            <w:vAlign w:val="center"/>
          </w:tcPr>
          <w:p w14:paraId="24690E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2" w:line="196" w:lineRule="auto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726" w:type="dxa"/>
            <w:vAlign w:val="center"/>
          </w:tcPr>
          <w:p w14:paraId="6488FE69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机房环境监控设备维保服务</w:t>
            </w:r>
          </w:p>
        </w:tc>
      </w:tr>
      <w:tr w14:paraId="167E68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70" w:type="dxa"/>
            <w:vAlign w:val="center"/>
          </w:tcPr>
          <w:p w14:paraId="566095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3" w:line="196" w:lineRule="auto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726" w:type="dxa"/>
            <w:vAlign w:val="center"/>
          </w:tcPr>
          <w:p w14:paraId="64ADC82B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机房配电及防雷接地维保服务</w:t>
            </w:r>
          </w:p>
        </w:tc>
      </w:tr>
      <w:tr w14:paraId="364578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70" w:type="dxa"/>
            <w:vAlign w:val="center"/>
          </w:tcPr>
          <w:p w14:paraId="28E115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4" w:line="197" w:lineRule="auto"/>
              <w:ind w:left="325"/>
              <w:jc w:val="both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726" w:type="dxa"/>
            <w:vAlign w:val="center"/>
          </w:tcPr>
          <w:p w14:paraId="2729C104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医院信息化平台 IT 运维系统服务</w:t>
            </w:r>
          </w:p>
        </w:tc>
      </w:tr>
      <w:tr w14:paraId="195C0D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70" w:type="dxa"/>
            <w:vAlign w:val="center"/>
          </w:tcPr>
          <w:p w14:paraId="143D2D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4" w:line="196" w:lineRule="auto"/>
              <w:ind w:left="325"/>
              <w:jc w:val="both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726" w:type="dxa"/>
            <w:vAlign w:val="center"/>
          </w:tcPr>
          <w:p w14:paraId="7214F995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与医院信息系统平台运行的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en-US"/>
              </w:rPr>
              <w:t>服务</w:t>
            </w:r>
          </w:p>
        </w:tc>
      </w:tr>
      <w:tr w14:paraId="64D02A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70" w:type="dxa"/>
            <w:vAlign w:val="center"/>
          </w:tcPr>
          <w:p w14:paraId="411D1F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3" w:line="197" w:lineRule="auto"/>
              <w:ind w:left="325"/>
              <w:jc w:val="both"/>
              <w:textAlignment w:val="baseline"/>
              <w:rPr>
                <w:rFonts w:hint="default" w:ascii="Arial" w:hAnsi="Arial" w:eastAsia="宋体" w:cs="Arial"/>
                <w:snapToGrid w:val="0"/>
                <w:color w:val="auto"/>
                <w:spacing w:val="-1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snapToGrid w:val="0"/>
                <w:color w:val="auto"/>
                <w:spacing w:val="-13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726" w:type="dxa"/>
            <w:vAlign w:val="center"/>
          </w:tcPr>
          <w:p w14:paraId="2CA507E0">
            <w:pPr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定期巡检服务</w:t>
            </w:r>
          </w:p>
        </w:tc>
      </w:tr>
      <w:tr w14:paraId="29A00C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70" w:type="dxa"/>
            <w:vAlign w:val="center"/>
          </w:tcPr>
          <w:p w14:paraId="077EB9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3" w:line="197" w:lineRule="auto"/>
              <w:ind w:left="325"/>
              <w:jc w:val="both"/>
              <w:textAlignment w:val="baseline"/>
              <w:rPr>
                <w:rFonts w:hint="default" w:ascii="Arial" w:hAnsi="Arial" w:eastAsia="宋体" w:cs="Arial"/>
                <w:snapToGrid w:val="0"/>
                <w:color w:val="auto"/>
                <w:spacing w:val="-1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snapToGrid w:val="0"/>
                <w:color w:val="auto"/>
                <w:spacing w:val="-13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726" w:type="dxa"/>
            <w:vAlign w:val="center"/>
          </w:tcPr>
          <w:p w14:paraId="6979D459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数据库恢复演练</w:t>
            </w:r>
          </w:p>
        </w:tc>
      </w:tr>
      <w:tr w14:paraId="3554E2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870" w:type="dxa"/>
            <w:vAlign w:val="center"/>
          </w:tcPr>
          <w:p w14:paraId="35952BE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3" w:line="197" w:lineRule="auto"/>
              <w:ind w:left="325"/>
              <w:jc w:val="both"/>
              <w:textAlignment w:val="baseline"/>
              <w:rPr>
                <w:rFonts w:hint="default" w:ascii="Arial" w:hAnsi="Arial" w:eastAsia="宋体" w:cs="Arial"/>
                <w:snapToGrid w:val="0"/>
                <w:color w:val="auto"/>
                <w:spacing w:val="-1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snapToGrid w:val="0"/>
                <w:color w:val="auto"/>
                <w:spacing w:val="-13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726" w:type="dxa"/>
            <w:vAlign w:val="center"/>
          </w:tcPr>
          <w:p w14:paraId="621FEF18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全院综合布线新增点位服务</w:t>
            </w:r>
          </w:p>
        </w:tc>
      </w:tr>
    </w:tbl>
    <w:p w14:paraId="008911AE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240" w:lineRule="auto"/>
        <w:ind w:left="661"/>
        <w:jc w:val="left"/>
        <w:textAlignment w:val="baseline"/>
        <w:rPr>
          <w:rFonts w:ascii="仿宋" w:hAnsi="仿宋" w:eastAsia="仿宋" w:cs="仿宋"/>
          <w:b w:val="0"/>
          <w:bCs w:val="0"/>
          <w:snapToGrid w:val="0"/>
          <w:color w:val="000000"/>
          <w:kern w:val="0"/>
          <w:position w:val="17"/>
          <w:sz w:val="24"/>
          <w:szCs w:val="24"/>
          <w:lang w:val="en-US" w:eastAsia="en-US" w:bidi="ar-SA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19899A64">
      <w:pPr>
        <w:ind w:firstLine="420" w:firstLineChars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在医院服务过程中，在用服务器、存储，光纤交换机故障或损坏（含硬盘、控制器、扩展板卡、配套光模块等），均由投标供应商免费提供维修服务和配件，不再单独收取费用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服务商要库存相应的备件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如有设备更换部件，应及时提供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。备件详见备件清单表，包括但不限于所列清单内容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。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全院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综合布线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新增点位服务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按照新增点位据实结算。</w:t>
      </w:r>
    </w:p>
    <w:p w14:paraId="6537E84D">
      <w:pPr>
        <w:rPr>
          <w:rFonts w:hint="default"/>
          <w:lang w:val="en-US" w:eastAsia="zh-CN"/>
        </w:rPr>
      </w:pPr>
    </w:p>
    <w:p w14:paraId="52CAA8FF">
      <w:pPr>
        <w:kinsoku w:val="0"/>
        <w:autoSpaceDE w:val="0"/>
        <w:autoSpaceDN w:val="0"/>
        <w:adjustRightInd w:val="0"/>
        <w:snapToGrid w:val="0"/>
        <w:spacing w:before="295" w:line="226" w:lineRule="auto"/>
        <w:ind w:left="127"/>
        <w:jc w:val="left"/>
        <w:textAlignment w:val="baseline"/>
        <w:outlineLvl w:val="0"/>
        <w:rPr>
          <w:rFonts w:hint="eastAsia" w:ascii="宋体" w:hAnsi="宋体" w:eastAsia="宋体" w:cs="宋体"/>
          <w:snapToGrid w:val="0"/>
          <w:color w:val="000000"/>
          <w:spacing w:val="3"/>
          <w:kern w:val="0"/>
          <w:sz w:val="31"/>
          <w:szCs w:val="31"/>
          <w:lang w:val="en-US" w:eastAsia="zh-CN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napToGrid w:val="0"/>
          <w:color w:val="000000"/>
          <w:spacing w:val="3"/>
          <w:kern w:val="0"/>
          <w:sz w:val="31"/>
          <w:szCs w:val="31"/>
          <w:lang w:val="en-US" w:eastAsia="zh-CN" w:bidi="ar-SA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3.服务要求：</w:t>
      </w:r>
    </w:p>
    <w:p w14:paraId="1D5A9F92">
      <w:pPr>
        <w:keepNext w:val="0"/>
        <w:keepLines w:val="0"/>
        <w:pageBreakBefore w:val="0"/>
        <w:widowControl w:val="0"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驻院服务</w:t>
      </w:r>
    </w:p>
    <w:p w14:paraId="1EDE9605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ind w:firstLine="420" w:firstLineChars="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highlight w:val="none"/>
          <w:lang w:val="en-US" w:eastAsia="en-US" w:bidi="ar-SA"/>
        </w:rPr>
        <w:t>本次招标的服务期限设定为一年，服务期满后，若供应商经考核达标，可续签合同一年；若考核未达标，则合同终止。合同实行一年一签制度，续签次数上限为两次。</w:t>
      </w:r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  <w:t>常驻一名具备服务资质的工程技术人员，负责在信息科</w:t>
      </w:r>
      <w:r>
        <w:rPr>
          <w:rFonts w:hint="eastAsia" w:ascii="仿宋" w:hAnsi="仿宋" w:eastAsia="仿宋" w:cs="仿宋"/>
          <w:snapToGrid w:val="0"/>
          <w:color w:val="auto"/>
          <w:spacing w:val="-4"/>
          <w:kern w:val="0"/>
          <w:sz w:val="24"/>
          <w:szCs w:val="24"/>
          <w:u w:val="none"/>
          <w:lang w:val="en-US" w:eastAsia="zh-CN" w:bidi="ar-SA"/>
        </w:rPr>
        <w:t>现场办公、统一管理，并在规定时限内高效处理各类服务事件，同时参与科室值班工作。</w:t>
      </w:r>
      <w:r>
        <w:rPr>
          <w:rFonts w:hint="eastAsia" w:ascii="仿宋" w:hAnsi="仿宋" w:eastAsia="仿宋" w:cs="仿宋"/>
          <w:snapToGrid w:val="0"/>
          <w:color w:val="auto"/>
          <w:spacing w:val="-4"/>
          <w:kern w:val="0"/>
          <w:sz w:val="24"/>
          <w:szCs w:val="24"/>
          <w:lang w:val="en-US" w:eastAsia="zh-CN" w:bidi="ar-SA"/>
        </w:rPr>
        <w:t>设立全天候（</w:t>
      </w:r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  <w:t>7*24*365）移动电话热线，由专人值守，确保机房突发情况能够得到及时响应和解决。</w:t>
      </w:r>
    </w:p>
    <w:p w14:paraId="2EBC3F58">
      <w:pPr>
        <w:keepNext w:val="0"/>
        <w:keepLines w:val="0"/>
        <w:pageBreakBefore w:val="0"/>
        <w:widowControl w:val="0"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5"/>
          <w:kern w:val="0"/>
          <w:sz w:val="24"/>
          <w:szCs w:val="24"/>
          <w:lang w:val="en-US" w:eastAsia="en-US" w:bidi="ar-SA"/>
        </w:rPr>
        <w:t>故障排除</w:t>
      </w:r>
    </w:p>
    <w:p w14:paraId="7F5434D4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ind w:firstLine="420" w:firstLineChars="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在规定时限内排除故障恢复系统运行，包括故障定位、部件更换、数据备份的全部工作。并且针对各类突发事件，设计相应的预防与解决措施</w:t>
      </w:r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  <w:t>，尽最大努力减小突发事件对医院信息化平台日常应用的影响。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对发现的问题在报各级负责人的同时，要协调相关资源分析问题根源，确定解决方案和临时解决措施，避免造成更大的影响。问题得到稳定或彻底解决后，要形成问题汇报，避免以后类似重大紧急情况的发生。</w:t>
      </w:r>
    </w:p>
    <w:p w14:paraId="6760D4BB">
      <w:pPr>
        <w:keepNext w:val="0"/>
        <w:keepLines w:val="0"/>
        <w:pageBreakBefore w:val="0"/>
        <w:widowControl w:val="0"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6"/>
          <w:kern w:val="0"/>
          <w:sz w:val="24"/>
          <w:szCs w:val="24"/>
          <w:lang w:val="en-US" w:eastAsia="en-US" w:bidi="ar-SA"/>
        </w:rPr>
        <w:t>定期巡检</w:t>
      </w:r>
      <w:r>
        <w:rPr>
          <w:rFonts w:hint="eastAsia" w:ascii="仿宋" w:hAnsi="仿宋" w:eastAsia="仿宋" w:cs="仿宋"/>
          <w:snapToGrid w:val="0"/>
          <w:color w:val="000000"/>
          <w:spacing w:val="-6"/>
          <w:kern w:val="0"/>
          <w:sz w:val="24"/>
          <w:szCs w:val="24"/>
          <w:lang w:val="en-US" w:eastAsia="zh-CN" w:bidi="ar-SA"/>
        </w:rPr>
        <w:t>服务及数据库恢复演练</w:t>
      </w:r>
    </w:p>
    <w:p w14:paraId="7354E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textAlignment w:val="auto"/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  <w:t>机房日常巡检每天一次，弱电间巡检每周一次，数据库巡检每季度一次（重要节假日劳动节、国庆节和春节前额外一次巡检）并出具巡检报告。数据库恢复演练，每年不少于3次。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系统巡检人员定期做好规范巡检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工作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，并填写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巡检记录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，由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双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方代表确认并签署意见后存档。</w:t>
      </w:r>
    </w:p>
    <w:p w14:paraId="5B2AC0AA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  <w:t>日常巡检内容：</w:t>
      </w:r>
    </w:p>
    <w:p w14:paraId="0E358887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ind w:leftChars="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  <w:t>4、其他</w:t>
      </w:r>
    </w:p>
    <w:p w14:paraId="24E6CB41"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ind w:leftChars="0" w:firstLine="420" w:firstLineChars="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zh-CN" w:bidi="ar-SA"/>
        </w:rPr>
        <w:t>维保过程中，出现未满足上述要求的维保事故，根据不同级别从维保服务总费用中扣除相应款项。</w:t>
      </w:r>
    </w:p>
    <w:p w14:paraId="31AB24E5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A267016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7DB0C5D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1581F97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53FE170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686E3F4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1DF88DA">
      <w:pPr>
        <w:widowControl/>
        <w:kinsoku w:val="0"/>
        <w:autoSpaceDE w:val="0"/>
        <w:autoSpaceDN w:val="0"/>
        <w:adjustRightInd w:val="0"/>
        <w:snapToGrid w:val="0"/>
        <w:spacing w:line="2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923C093">
      <w:pPr>
        <w:kinsoku w:val="0"/>
        <w:autoSpaceDE w:val="0"/>
        <w:autoSpaceDN w:val="0"/>
        <w:adjustRightInd w:val="0"/>
        <w:snapToGrid w:val="0"/>
        <w:spacing w:before="291" w:line="221" w:lineRule="auto"/>
        <w:ind w:left="181"/>
        <w:jc w:val="left"/>
        <w:textAlignment w:val="baseline"/>
        <w:outlineLvl w:val="1"/>
        <w:rPr>
          <w:rFonts w:ascii="仿宋" w:hAnsi="仿宋" w:eastAsia="仿宋" w:cs="仿宋"/>
          <w:snapToGrid w:val="0"/>
          <w:color w:val="000000"/>
          <w:kern w:val="0"/>
          <w:sz w:val="30"/>
          <w:szCs w:val="30"/>
          <w:lang w:val="en-US" w:eastAsia="en-US" w:bidi="ar-SA"/>
        </w:rPr>
      </w:pPr>
      <w:bookmarkStart w:id="0" w:name="bookmark6"/>
      <w:bookmarkEnd w:id="0"/>
      <w:bookmarkStart w:id="1" w:name="bookmark7"/>
      <w:bookmarkEnd w:id="1"/>
      <w:r>
        <w:rPr>
          <w:rFonts w:hint="eastAsia" w:ascii="仿宋" w:hAnsi="仿宋" w:eastAsia="仿宋" w:cs="仿宋"/>
          <w:snapToGrid w:val="0"/>
          <w:color w:val="000000"/>
          <w:spacing w:val="-4"/>
          <w:kern w:val="0"/>
          <w:sz w:val="30"/>
          <w:szCs w:val="30"/>
          <w:lang w:val="en-US" w:eastAsia="zh-CN" w:bidi="ar-SA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附：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0"/>
          <w:szCs w:val="30"/>
          <w:lang w:val="en-US" w:eastAsia="en-US" w:bidi="ar-SA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备件清单表</w:t>
      </w:r>
    </w:p>
    <w:p w14:paraId="26AFF3EF">
      <w:pPr>
        <w:widowControl/>
        <w:kinsoku w:val="0"/>
        <w:autoSpaceDE w:val="0"/>
        <w:autoSpaceDN w:val="0"/>
        <w:adjustRightInd w:val="0"/>
        <w:snapToGrid w:val="0"/>
        <w:spacing w:before="2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7"/>
        <w:tblW w:w="604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"/>
        <w:gridCol w:w="722"/>
        <w:gridCol w:w="2"/>
        <w:gridCol w:w="1617"/>
        <w:gridCol w:w="3698"/>
      </w:tblGrid>
      <w:tr w14:paraId="04ABEB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724" w:type="dxa"/>
            <w:gridSpan w:val="2"/>
            <w:vAlign w:val="center"/>
          </w:tcPr>
          <w:p w14:paraId="0E5F6627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序号</w:t>
            </w:r>
          </w:p>
        </w:tc>
        <w:tc>
          <w:tcPr>
            <w:tcW w:w="1619" w:type="dxa"/>
            <w:gridSpan w:val="2"/>
            <w:vAlign w:val="center"/>
          </w:tcPr>
          <w:p w14:paraId="681A6042"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备用备件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名称</w:t>
            </w:r>
          </w:p>
        </w:tc>
        <w:tc>
          <w:tcPr>
            <w:tcW w:w="3698" w:type="dxa"/>
            <w:vAlign w:val="center"/>
          </w:tcPr>
          <w:p w14:paraId="0A8F812A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规格型号</w:t>
            </w:r>
          </w:p>
        </w:tc>
      </w:tr>
      <w:tr w14:paraId="599A14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restart"/>
            <w:vAlign w:val="center"/>
          </w:tcPr>
          <w:p w14:paraId="7FFCBC87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1</w:t>
            </w:r>
          </w:p>
        </w:tc>
        <w:tc>
          <w:tcPr>
            <w:tcW w:w="1619" w:type="dxa"/>
            <w:gridSpan w:val="2"/>
            <w:vMerge w:val="restart"/>
            <w:vAlign w:val="center"/>
          </w:tcPr>
          <w:p w14:paraId="0C0495DC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服务器内存</w:t>
            </w:r>
          </w:p>
        </w:tc>
        <w:tc>
          <w:tcPr>
            <w:tcW w:w="3698" w:type="dxa"/>
            <w:vAlign w:val="center"/>
          </w:tcPr>
          <w:p w14:paraId="4EEC33B2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2GB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DDR3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1066/1333MHz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REGECC</w:t>
            </w:r>
          </w:p>
        </w:tc>
      </w:tr>
      <w:tr w14:paraId="45AED8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2F027C20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79467F3B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56D69452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4GB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DDR3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1333MHz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REG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ECC</w:t>
            </w:r>
          </w:p>
        </w:tc>
      </w:tr>
      <w:tr w14:paraId="2AD7C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3A18AC8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5AF8745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0D8802A7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8GB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DDR4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2133/2400MHz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REG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ECC</w:t>
            </w:r>
          </w:p>
        </w:tc>
      </w:tr>
      <w:tr w14:paraId="33D4A0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7B13DB8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7BCC8832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58B6DA6E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16GB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DDR4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1866/2133/2400MHz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REG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ECC</w:t>
            </w:r>
          </w:p>
        </w:tc>
      </w:tr>
      <w:tr w14:paraId="550243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393EA12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485A40E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tcBorders>
              <w:bottom w:val="single" w:color="auto" w:sz="4" w:space="0"/>
            </w:tcBorders>
            <w:vAlign w:val="center"/>
          </w:tcPr>
          <w:p w14:paraId="3DD46E7A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32GB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DDR4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2133/2400MHz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REG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ECC</w:t>
            </w:r>
          </w:p>
        </w:tc>
      </w:tr>
      <w:tr w14:paraId="512DB5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23D3FDAA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492AAD75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E7F3D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64G DDR4_3200MHz</w:t>
            </w:r>
          </w:p>
        </w:tc>
      </w:tr>
      <w:tr w14:paraId="49BAE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724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 w14:paraId="1007CEE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 w14:paraId="41B34BDB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7F597">
            <w:pPr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32GB DDR4</w:t>
            </w:r>
          </w:p>
        </w:tc>
      </w:tr>
      <w:tr w14:paraId="5B43EE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5E70AA1F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1614FB3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2B39B0B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4FFD414B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6C6729F6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14636EB9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58683E53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51787C1B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640D60F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264E651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3E75575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73C3967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38BFF65F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3F28A6E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0E20466D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3D5F0B80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2F868AD7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2</w:t>
            </w:r>
          </w:p>
        </w:tc>
        <w:tc>
          <w:tcPr>
            <w:tcW w:w="1619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0FC32807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服务器硬盘</w:t>
            </w:r>
          </w:p>
        </w:tc>
        <w:tc>
          <w:tcPr>
            <w:tcW w:w="3698" w:type="dxa"/>
            <w:tcBorders>
              <w:top w:val="single" w:color="auto" w:sz="4" w:space="0"/>
            </w:tcBorders>
            <w:vAlign w:val="center"/>
          </w:tcPr>
          <w:p w14:paraId="0DCA2D80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6GB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FRU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00AJ097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300GB</w:t>
            </w:r>
          </w:p>
        </w:tc>
      </w:tr>
      <w:tr w14:paraId="0131CC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1F85432D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1A4B85A3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069B8E75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12Gb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FRU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00WG686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300GB</w:t>
            </w:r>
          </w:p>
        </w:tc>
      </w:tr>
      <w:tr w14:paraId="6AFACE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65A43B25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2A9601D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0F24A059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600GB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00WG666/00WG691/00YK014</w:t>
            </w:r>
          </w:p>
        </w:tc>
      </w:tr>
      <w:tr w14:paraId="51C882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31F1535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241BC190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749F88AC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12GB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FRU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00WG691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600GB</w:t>
            </w:r>
          </w:p>
        </w:tc>
      </w:tr>
      <w:tr w14:paraId="78C148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39E76C0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3765C99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4EB04850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Lenovo/联想</w:t>
            </w:r>
          </w:p>
          <w:p w14:paraId="583CC38C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7XB7A00027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00YK016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1.2TB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10K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12G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</w:p>
        </w:tc>
      </w:tr>
      <w:tr w14:paraId="305B9F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44AB1C00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27499EDA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2B200978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Lenovo/联想</w:t>
            </w:r>
          </w:p>
          <w:p w14:paraId="08DD5FB4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7XB7A00050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00YK039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2TB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SATA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7.2K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12G</w:t>
            </w:r>
          </w:p>
          <w:p w14:paraId="080543B9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B</w:t>
            </w:r>
          </w:p>
        </w:tc>
      </w:tr>
      <w:tr w14:paraId="5476F2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128C424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4B830583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321CB579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Lenovo/联想</w:t>
            </w:r>
          </w:p>
          <w:p w14:paraId="111269FD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2TB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7.2K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12Gbps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NLSAS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3.5"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G2HS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512e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HDD</w:t>
            </w:r>
          </w:p>
        </w:tc>
      </w:tr>
      <w:tr w14:paraId="592EDF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1F87B4F0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3518A17D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13F1363E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EMC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Unity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6/12Gb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1.6TB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SSD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005052258</w:t>
            </w:r>
          </w:p>
        </w:tc>
      </w:tr>
      <w:tr w14:paraId="70E6F7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462F3777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30325423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34DDFDF7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600GB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10K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0231HAP</w:t>
            </w:r>
          </w:p>
        </w:tc>
      </w:tr>
      <w:tr w14:paraId="278950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2AFA6CC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0796F25D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1944CC20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SATA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1TB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7.2K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02310LGY</w:t>
            </w:r>
          </w:p>
        </w:tc>
      </w:tr>
      <w:tr w14:paraId="2FA36E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05D078C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0A4AD185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66A09ECE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SATA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MDL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500GB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7.2K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SPARE:459319-</w:t>
            </w:r>
          </w:p>
          <w:p w14:paraId="7479975D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001</w:t>
            </w:r>
          </w:p>
        </w:tc>
      </w:tr>
      <w:tr w14:paraId="0D6A4D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562F4AB9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46F8E4C6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1764D061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300GB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10K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872735</w:t>
            </w:r>
          </w:p>
        </w:tc>
      </w:tr>
      <w:tr w14:paraId="3D938B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71F448A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01DF1343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071E1488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6G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10K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300GB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SPARE:507284-001</w:t>
            </w:r>
          </w:p>
        </w:tc>
      </w:tr>
      <w:tr w14:paraId="10474B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3DB0CFE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0B1B3780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42A35B20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EVA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MDL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6G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7.2K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2TB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SPARE:60211</w:t>
            </w:r>
          </w:p>
          <w:p w14:paraId="223D8013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9-001</w:t>
            </w:r>
          </w:p>
        </w:tc>
      </w:tr>
      <w:tr w14:paraId="1D1D87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2F77C0D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2C7EDC1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3F554A66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12G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7.2K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MDL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4TB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SPARE:801557-</w:t>
            </w:r>
          </w:p>
          <w:p w14:paraId="740D90C5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001</w:t>
            </w:r>
          </w:p>
        </w:tc>
      </w:tr>
      <w:tr w14:paraId="03FC65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0A5C2906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3B3E919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2EA77DC6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300GB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Fibre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Channel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15K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DualPort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</w:t>
            </w:r>
          </w:p>
          <w:p w14:paraId="0778894E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PARE:454411-001</w:t>
            </w:r>
          </w:p>
        </w:tc>
      </w:tr>
      <w:tr w14:paraId="3C4B19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19E82906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2C6DEDF9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3BA5058A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7.2K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SATA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MDL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1TB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SPARE:480942-001</w:t>
            </w:r>
          </w:p>
        </w:tc>
      </w:tr>
      <w:tr w14:paraId="161E66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5650B309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3F0FE74B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4748924C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Dell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300GB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10K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12Gbps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ST300MM007</w:t>
            </w:r>
          </w:p>
          <w:p w14:paraId="12142C22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8</w:t>
            </w:r>
          </w:p>
        </w:tc>
      </w:tr>
      <w:tr w14:paraId="63011E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51513525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7584A299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tcBorders>
              <w:bottom w:val="single" w:color="auto" w:sz="4" w:space="0"/>
            </w:tcBorders>
            <w:vAlign w:val="center"/>
          </w:tcPr>
          <w:p w14:paraId="1F99610A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300GB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00YK013</w:t>
            </w:r>
          </w:p>
        </w:tc>
      </w:tr>
      <w:tr w14:paraId="6EBFA2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763240A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20408940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A31F3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1.92TB 2.5寸企业级SSD硬盘</w:t>
            </w:r>
          </w:p>
        </w:tc>
      </w:tr>
      <w:tr w14:paraId="1ACFEA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4F0A0FA6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237B7BA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FF658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480G SSD 企业级硬盘</w:t>
            </w:r>
          </w:p>
        </w:tc>
      </w:tr>
      <w:tr w14:paraId="4B1567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42C71E0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52D9C9A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7C3AB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8TB SATA企业级硬盘</w:t>
            </w:r>
          </w:p>
        </w:tc>
      </w:tr>
      <w:tr w14:paraId="275C52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35B5C0A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0194D44F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E608C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240GB M.2 SATA SSD</w:t>
            </w:r>
          </w:p>
        </w:tc>
      </w:tr>
      <w:tr w14:paraId="71F001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09BFD963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7F93C1D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62C30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3.84TB企业级SSD硬盘</w:t>
            </w:r>
          </w:p>
        </w:tc>
      </w:tr>
      <w:tr w14:paraId="23DC46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3B5B056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668077BB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6E4F5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12TB企业级NL-SAS硬盘</w:t>
            </w:r>
          </w:p>
        </w:tc>
      </w:tr>
      <w:tr w14:paraId="50B6DD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restart"/>
            <w:tcBorders>
              <w:bottom w:val="nil"/>
            </w:tcBorders>
            <w:vAlign w:val="center"/>
          </w:tcPr>
          <w:p w14:paraId="3C991486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49B55986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13B60AF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418E505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1AE59D5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698E5DFA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7E6DE52D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1C4122A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5A58030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394A8B30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2D4E4F75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70F298E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37B4CD92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4BD60AE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597896ED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3</w:t>
            </w:r>
          </w:p>
        </w:tc>
        <w:tc>
          <w:tcPr>
            <w:tcW w:w="1619" w:type="dxa"/>
            <w:gridSpan w:val="2"/>
            <w:vMerge w:val="restart"/>
            <w:tcBorders>
              <w:bottom w:val="nil"/>
            </w:tcBorders>
            <w:vAlign w:val="center"/>
          </w:tcPr>
          <w:p w14:paraId="51E4BAC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6ADB8F47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298A01F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41AD6C4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27E68ABF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2E6623E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27070E5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726DC4F0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7653F595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0B96DA19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7D184CFD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78588E8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04747B7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785487E5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  <w:p w14:paraId="48ECE589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服务器电源</w:t>
            </w:r>
          </w:p>
        </w:tc>
        <w:tc>
          <w:tcPr>
            <w:tcW w:w="3698" w:type="dxa"/>
            <w:vAlign w:val="center"/>
          </w:tcPr>
          <w:p w14:paraId="0E8CD4FA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锐捷高效能 550W 铂金 1+1 冗余电源</w:t>
            </w:r>
          </w:p>
        </w:tc>
      </w:tr>
      <w:tr w14:paraId="6E8651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5D180233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72FFF26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47F240BA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Dell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EPP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495W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OVKDD2A01</w:t>
            </w:r>
          </w:p>
        </w:tc>
      </w:tr>
      <w:tr w14:paraId="3B34E2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4220432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2BF120CB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5BF8309D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Dell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495W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EPP</w:t>
            </w:r>
          </w:p>
        </w:tc>
      </w:tr>
      <w:tr w14:paraId="14BDE7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12F126C9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06E8C68B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5F89F444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HSTNS-PL14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460W</w:t>
            </w:r>
          </w:p>
        </w:tc>
      </w:tr>
      <w:tr w14:paraId="000205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7620CB53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7DC71C33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46484E89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HSTNS-PL40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500W</w:t>
            </w:r>
          </w:p>
        </w:tc>
      </w:tr>
      <w:tr w14:paraId="22BFD1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7D7C24F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7BDB091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6061A287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HSTNS-PL40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550W</w:t>
            </w:r>
          </w:p>
        </w:tc>
      </w:tr>
      <w:tr w14:paraId="5068EE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0E746FB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5FCBE8F4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79C7C742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HSTNS-PL18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750W</w:t>
            </w:r>
          </w:p>
        </w:tc>
      </w:tr>
      <w:tr w14:paraId="30E210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6403E0B9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739336A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531382C6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HSTNS-PL11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1200W</w:t>
            </w:r>
          </w:p>
        </w:tc>
      </w:tr>
      <w:tr w14:paraId="61FD1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74C48E6E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117938B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5BB7B76F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华为</w:t>
            </w:r>
          </w:p>
          <w:p w14:paraId="3DC1DC2D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PAC1500S12-BE-PAC1500S12-BE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1500W</w:t>
            </w:r>
          </w:p>
        </w:tc>
      </w:tr>
      <w:tr w14:paraId="249E6C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660AD7B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69B164EB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2A460823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华为 DELTADPS-1200AB-4D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1200W</w:t>
            </w:r>
          </w:p>
        </w:tc>
      </w:tr>
      <w:tr w14:paraId="24C11C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7DD66730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1D1381CA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08EFDB55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深信服 aStor-EDS1250 热插拔电源</w:t>
            </w:r>
          </w:p>
          <w:p w14:paraId="6E8C58C6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800W</w:t>
            </w:r>
          </w:p>
        </w:tc>
      </w:tr>
      <w:tr w14:paraId="578245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24" w:type="dxa"/>
            <w:gridSpan w:val="2"/>
            <w:vMerge w:val="continue"/>
            <w:tcBorders>
              <w:top w:val="nil"/>
            </w:tcBorders>
            <w:vAlign w:val="center"/>
          </w:tcPr>
          <w:p w14:paraId="778F00DC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nil"/>
            </w:tcBorders>
            <w:vAlign w:val="center"/>
          </w:tcPr>
          <w:p w14:paraId="37792E42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7F6E9D71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联想热插拔电源冗余服务器电源</w:t>
            </w:r>
          </w:p>
          <w:p w14:paraId="78910860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900W</w:t>
            </w:r>
          </w:p>
        </w:tc>
      </w:tr>
      <w:tr w14:paraId="1B238A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restart"/>
            <w:vAlign w:val="center"/>
          </w:tcPr>
          <w:p w14:paraId="5649FB43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4</w:t>
            </w:r>
          </w:p>
        </w:tc>
        <w:tc>
          <w:tcPr>
            <w:tcW w:w="1619" w:type="dxa"/>
            <w:gridSpan w:val="2"/>
            <w:vMerge w:val="restart"/>
            <w:vAlign w:val="center"/>
          </w:tcPr>
          <w:p w14:paraId="37D34C31"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服务器阵列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卡</w:t>
            </w:r>
          </w:p>
        </w:tc>
        <w:tc>
          <w:tcPr>
            <w:tcW w:w="3698" w:type="dxa"/>
            <w:vAlign w:val="center"/>
          </w:tcPr>
          <w:p w14:paraId="3282456C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PERC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H730P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Mini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嵌入式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）</w:t>
            </w:r>
          </w:p>
        </w:tc>
      </w:tr>
      <w:tr w14:paraId="45401C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55EEBCF5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31BA1CD6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7F15D178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5885H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V5-BC6M27RAID-SP450C-M2G(A</w:t>
            </w:r>
          </w:p>
          <w:p w14:paraId="164BF2AE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VAGO3508)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SAS/SATA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RAID</w:t>
            </w:r>
          </w:p>
        </w:tc>
      </w:tr>
      <w:tr w14:paraId="3F7565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4E6B397D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58DBFF91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41CFFDC6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SR430C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1GB-BC1M06ESMQ-SR430C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Cache</w:t>
            </w:r>
          </w:p>
        </w:tc>
      </w:tr>
      <w:tr w14:paraId="73D253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3EF7B01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48493275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0A673435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Tecal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RH2285-BC11ESMC-SR120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SAS/SATA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RAID</w:t>
            </w:r>
          </w:p>
        </w:tc>
      </w:tr>
      <w:tr w14:paraId="62C103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199C42C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00C1D00D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4BD1414C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ServerRAID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M5210(PCL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Slot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12)</w:t>
            </w:r>
          </w:p>
        </w:tc>
      </w:tr>
      <w:tr w14:paraId="32F44A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Merge w:val="continue"/>
            <w:vAlign w:val="center"/>
          </w:tcPr>
          <w:p w14:paraId="53AE21E8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  <w:vAlign w:val="center"/>
          </w:tcPr>
          <w:p w14:paraId="4B2A7839">
            <w:pPr>
              <w:jc w:val="center"/>
              <w:rPr>
                <w:rFonts w:hint="eastAsia" w:ascii="仿宋" w:hAnsi="仿宋" w:eastAsia="仿宋" w:cs="仿宋"/>
                <w:lang w:eastAsia="en-US"/>
              </w:rPr>
            </w:pPr>
          </w:p>
        </w:tc>
        <w:tc>
          <w:tcPr>
            <w:tcW w:w="3698" w:type="dxa"/>
            <w:vAlign w:val="center"/>
          </w:tcPr>
          <w:p w14:paraId="7D5EA1BD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HP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P410i/1GB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FBWC</w:t>
            </w:r>
          </w:p>
        </w:tc>
      </w:tr>
      <w:tr w14:paraId="708F07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724" w:type="dxa"/>
            <w:gridSpan w:val="2"/>
            <w:vAlign w:val="center"/>
          </w:tcPr>
          <w:p w14:paraId="3399EE29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5</w:t>
            </w:r>
          </w:p>
        </w:tc>
        <w:tc>
          <w:tcPr>
            <w:tcW w:w="1619" w:type="dxa"/>
            <w:gridSpan w:val="2"/>
            <w:vAlign w:val="center"/>
          </w:tcPr>
          <w:p w14:paraId="22408D35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接入层交换</w:t>
            </w:r>
          </w:p>
          <w:p w14:paraId="743ADFBF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机</w:t>
            </w:r>
          </w:p>
        </w:tc>
        <w:tc>
          <w:tcPr>
            <w:tcW w:w="3698" w:type="dxa"/>
            <w:vAlign w:val="center"/>
          </w:tcPr>
          <w:p w14:paraId="6CE1A161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RG-S2928G-E</w:t>
            </w:r>
          </w:p>
        </w:tc>
      </w:tr>
      <w:tr w14:paraId="63AF5C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24" w:type="dxa"/>
            <w:gridSpan w:val="2"/>
            <w:vAlign w:val="center"/>
          </w:tcPr>
          <w:p w14:paraId="37A9C426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6</w:t>
            </w:r>
          </w:p>
        </w:tc>
        <w:tc>
          <w:tcPr>
            <w:tcW w:w="1619" w:type="dxa"/>
            <w:gridSpan w:val="2"/>
            <w:vAlign w:val="center"/>
          </w:tcPr>
          <w:p w14:paraId="7F098146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接入层交换</w:t>
            </w:r>
          </w:p>
          <w:p w14:paraId="7F219132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机</w:t>
            </w:r>
          </w:p>
        </w:tc>
        <w:tc>
          <w:tcPr>
            <w:tcW w:w="3698" w:type="dxa"/>
            <w:vAlign w:val="center"/>
          </w:tcPr>
          <w:p w14:paraId="6B2BE2DA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RG-S2910-24GT4XS-E</w:t>
            </w:r>
          </w:p>
        </w:tc>
      </w:tr>
      <w:tr w14:paraId="1AE2F6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724" w:type="dxa"/>
            <w:gridSpan w:val="2"/>
            <w:vAlign w:val="center"/>
          </w:tcPr>
          <w:p w14:paraId="71C8FD30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7</w:t>
            </w:r>
          </w:p>
        </w:tc>
        <w:tc>
          <w:tcPr>
            <w:tcW w:w="1619" w:type="dxa"/>
            <w:gridSpan w:val="2"/>
            <w:vAlign w:val="center"/>
          </w:tcPr>
          <w:p w14:paraId="571D65A5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POE 交换机电</w:t>
            </w:r>
          </w:p>
          <w:p w14:paraId="6366FCE8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源</w:t>
            </w:r>
          </w:p>
        </w:tc>
        <w:tc>
          <w:tcPr>
            <w:tcW w:w="3698" w:type="dxa"/>
            <w:vAlign w:val="center"/>
          </w:tcPr>
          <w:p w14:paraId="02EE8E5A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RG-M5000E-AC500P</w:t>
            </w:r>
          </w:p>
        </w:tc>
      </w:tr>
      <w:tr w14:paraId="737651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724" w:type="dxa"/>
            <w:gridSpan w:val="2"/>
            <w:vAlign w:val="center"/>
          </w:tcPr>
          <w:p w14:paraId="725C5411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8</w:t>
            </w:r>
          </w:p>
        </w:tc>
        <w:tc>
          <w:tcPr>
            <w:tcW w:w="1619" w:type="dxa"/>
            <w:gridSpan w:val="2"/>
            <w:vAlign w:val="center"/>
          </w:tcPr>
          <w:p w14:paraId="67411603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单模千兆网</w:t>
            </w:r>
          </w:p>
          <w:p w14:paraId="48B615E6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络光模块</w:t>
            </w:r>
          </w:p>
        </w:tc>
        <w:tc>
          <w:tcPr>
            <w:tcW w:w="3698" w:type="dxa"/>
            <w:vAlign w:val="center"/>
          </w:tcPr>
          <w:p w14:paraId="7DE81453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RG-MINI-GBIC-LX</w:t>
            </w:r>
          </w:p>
        </w:tc>
      </w:tr>
      <w:tr w14:paraId="40A804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24" w:type="dxa"/>
            <w:gridSpan w:val="2"/>
            <w:vAlign w:val="center"/>
          </w:tcPr>
          <w:p w14:paraId="0A20EEAD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9</w:t>
            </w:r>
          </w:p>
        </w:tc>
        <w:tc>
          <w:tcPr>
            <w:tcW w:w="1619" w:type="dxa"/>
            <w:gridSpan w:val="2"/>
            <w:vAlign w:val="center"/>
          </w:tcPr>
          <w:p w14:paraId="7E2E82E4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单模万兆网</w:t>
            </w:r>
          </w:p>
          <w:p w14:paraId="36967E0D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络光模块</w:t>
            </w:r>
          </w:p>
        </w:tc>
        <w:tc>
          <w:tcPr>
            <w:tcW w:w="3698" w:type="dxa"/>
            <w:vAlign w:val="center"/>
          </w:tcPr>
          <w:p w14:paraId="0B49191F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RG-XG-SFP-LR-SM1310</w:t>
            </w:r>
          </w:p>
        </w:tc>
      </w:tr>
      <w:tr w14:paraId="0C3EA9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24" w:type="dxa"/>
            <w:gridSpan w:val="2"/>
            <w:vAlign w:val="center"/>
          </w:tcPr>
          <w:p w14:paraId="5A99C828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10</w:t>
            </w:r>
          </w:p>
        </w:tc>
        <w:tc>
          <w:tcPr>
            <w:tcW w:w="1619" w:type="dxa"/>
            <w:gridSpan w:val="2"/>
            <w:vAlign w:val="center"/>
          </w:tcPr>
          <w:p w14:paraId="00687F3C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多模万兆网</w:t>
            </w:r>
          </w:p>
          <w:p w14:paraId="1B421313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络光模块</w:t>
            </w:r>
          </w:p>
        </w:tc>
        <w:tc>
          <w:tcPr>
            <w:tcW w:w="3698" w:type="dxa"/>
            <w:vAlign w:val="center"/>
          </w:tcPr>
          <w:p w14:paraId="27FA0E24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RG-10GBASE-SR-SFP+</w:t>
            </w:r>
          </w:p>
        </w:tc>
      </w:tr>
      <w:tr w14:paraId="4CA952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724" w:type="dxa"/>
            <w:gridSpan w:val="2"/>
            <w:vAlign w:val="center"/>
          </w:tcPr>
          <w:p w14:paraId="41237F56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11</w:t>
            </w:r>
          </w:p>
        </w:tc>
        <w:tc>
          <w:tcPr>
            <w:tcW w:w="1619" w:type="dxa"/>
            <w:gridSpan w:val="2"/>
            <w:vAlign w:val="center"/>
          </w:tcPr>
          <w:p w14:paraId="31809172">
            <w:pPr>
              <w:jc w:val="center"/>
              <w:rPr>
                <w:rFonts w:hint="eastAsia" w:ascii="仿宋" w:hAnsi="仿宋" w:eastAsia="仿宋" w:cs="仿宋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FC 光模块</w:t>
            </w:r>
          </w:p>
        </w:tc>
        <w:tc>
          <w:tcPr>
            <w:tcW w:w="3698" w:type="dxa"/>
            <w:vAlign w:val="center"/>
          </w:tcPr>
          <w:p w14:paraId="460EC65F">
            <w:pPr>
              <w:jc w:val="both"/>
              <w:rPr>
                <w:rFonts w:hint="eastAsia" w:ascii="仿宋" w:hAnsi="仿宋" w:eastAsia="仿宋" w:cs="仿宋"/>
                <w:color w:val="auto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en-US"/>
              </w:rPr>
              <w:t>CISCODS-SFP-FC16G-SW=</w:t>
            </w:r>
          </w:p>
        </w:tc>
      </w:tr>
      <w:tr w14:paraId="255D72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470" w:hRule="atLeast"/>
          <w:jc w:val="center"/>
        </w:trPr>
        <w:tc>
          <w:tcPr>
            <w:tcW w:w="724" w:type="dxa"/>
            <w:gridSpan w:val="2"/>
            <w:vAlign w:val="top"/>
          </w:tcPr>
          <w:p w14:paraId="545B7E3E">
            <w:pPr>
              <w:kinsoku w:val="0"/>
              <w:autoSpaceDE w:val="0"/>
              <w:autoSpaceDN w:val="0"/>
              <w:adjustRightInd w:val="0"/>
              <w:snapToGrid w:val="0"/>
              <w:spacing w:before="78" w:line="181" w:lineRule="auto"/>
              <w:ind w:left="251"/>
              <w:jc w:val="left"/>
              <w:textAlignment w:val="baseline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1617" w:type="dxa"/>
            <w:vAlign w:val="top"/>
          </w:tcPr>
          <w:p w14:paraId="0175D07B"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en-US"/>
              </w:rPr>
              <w:t>网点新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增</w:t>
            </w:r>
          </w:p>
        </w:tc>
        <w:tc>
          <w:tcPr>
            <w:tcW w:w="3698" w:type="dxa"/>
            <w:vAlign w:val="top"/>
          </w:tcPr>
          <w:p w14:paraId="1A041BF9">
            <w:pPr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六类网线</w:t>
            </w:r>
          </w:p>
        </w:tc>
      </w:tr>
    </w:tbl>
    <w:p w14:paraId="54B0B885">
      <w:pPr>
        <w:widowControl/>
        <w:kinsoku w:val="0"/>
        <w:autoSpaceDE w:val="0"/>
        <w:autoSpaceDN w:val="0"/>
        <w:adjustRightInd w:val="0"/>
        <w:snapToGrid w:val="0"/>
        <w:spacing w:line="42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AD1943E">
      <w:pPr>
        <w:widowControl/>
        <w:kinsoku w:val="0"/>
        <w:autoSpaceDE w:val="0"/>
        <w:autoSpaceDN w:val="0"/>
        <w:adjustRightInd w:val="0"/>
        <w:snapToGrid w:val="0"/>
        <w:spacing w:line="24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8E39154"/>
    <w:sectPr>
      <w:headerReference r:id="rId3" w:type="default"/>
      <w:pgSz w:w="11906" w:h="16838"/>
      <w:pgMar w:top="1440" w:right="737" w:bottom="1440" w:left="9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78483">
    <w:pPr>
      <w:kinsoku w:val="0"/>
      <w:autoSpaceDE w:val="0"/>
      <w:autoSpaceDN w:val="0"/>
      <w:adjustRightInd w:val="0"/>
      <w:snapToGrid w:val="0"/>
      <w:spacing w:before="65" w:line="229" w:lineRule="auto"/>
      <w:ind w:left="4525"/>
      <w:jc w:val="left"/>
      <w:textAlignment w:val="baseline"/>
      <w:rPr>
        <w:rFonts w:ascii="仿宋" w:hAnsi="仿宋" w:eastAsia="仿宋" w:cs="仿宋"/>
        <w:snapToGrid w:val="0"/>
        <w:color w:val="000000"/>
        <w:kern w:val="0"/>
        <w:sz w:val="20"/>
        <w:szCs w:val="20"/>
        <w:lang w:val="en-US" w:eastAsia="en-US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DC2F95"/>
    <w:multiLevelType w:val="singleLevel"/>
    <w:tmpl w:val="CADC2F9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35F571F"/>
    <w:multiLevelType w:val="multilevel"/>
    <w:tmpl w:val="735F571F"/>
    <w:lvl w:ilvl="0" w:tentative="0">
      <w:start w:val="1"/>
      <w:numFmt w:val="chineseCountingThousand"/>
      <w:suff w:val="nothing"/>
      <w:lvlText w:val="第%1章"/>
      <w:lvlJc w:val="left"/>
      <w:pPr>
        <w:ind w:left="2835" w:firstLine="0"/>
      </w:pPr>
    </w:lvl>
    <w:lvl w:ilvl="1" w:tentative="0">
      <w:start w:val="1"/>
      <w:numFmt w:val="none"/>
      <w:pStyle w:val="2"/>
      <w:suff w:val="nothing"/>
      <w:lvlText w:val=""/>
      <w:lvlJc w:val="left"/>
      <w:pPr>
        <w:ind w:left="1276" w:firstLine="0"/>
      </w:pPr>
    </w:lvl>
    <w:lvl w:ilvl="2" w:tentative="0">
      <w:start w:val="1"/>
      <w:numFmt w:val="none"/>
      <w:suff w:val="nothing"/>
      <w:lvlText w:val=""/>
      <w:lvlJc w:val="left"/>
      <w:pPr>
        <w:ind w:left="1276" w:firstLine="0"/>
      </w:pPr>
    </w:lvl>
    <w:lvl w:ilvl="3" w:tentative="0">
      <w:start w:val="1"/>
      <w:numFmt w:val="none"/>
      <w:suff w:val="nothing"/>
      <w:lvlText w:val=""/>
      <w:lvlJc w:val="left"/>
      <w:pPr>
        <w:ind w:left="1276" w:firstLine="0"/>
      </w:pPr>
    </w:lvl>
    <w:lvl w:ilvl="4" w:tentative="0">
      <w:start w:val="1"/>
      <w:numFmt w:val="none"/>
      <w:suff w:val="nothing"/>
      <w:lvlText w:val=""/>
      <w:lvlJc w:val="left"/>
      <w:pPr>
        <w:ind w:left="1276" w:firstLine="0"/>
      </w:pPr>
    </w:lvl>
    <w:lvl w:ilvl="5" w:tentative="0">
      <w:start w:val="1"/>
      <w:numFmt w:val="none"/>
      <w:suff w:val="nothing"/>
      <w:lvlText w:val=""/>
      <w:lvlJc w:val="left"/>
      <w:pPr>
        <w:ind w:left="1276" w:firstLine="0"/>
      </w:pPr>
    </w:lvl>
    <w:lvl w:ilvl="6" w:tentative="0">
      <w:start w:val="1"/>
      <w:numFmt w:val="none"/>
      <w:suff w:val="nothing"/>
      <w:lvlText w:val=""/>
      <w:lvlJc w:val="left"/>
      <w:pPr>
        <w:ind w:left="1276" w:firstLine="0"/>
      </w:pPr>
    </w:lvl>
    <w:lvl w:ilvl="7" w:tentative="0">
      <w:start w:val="1"/>
      <w:numFmt w:val="none"/>
      <w:suff w:val="nothing"/>
      <w:lvlText w:val=""/>
      <w:lvlJc w:val="left"/>
      <w:pPr>
        <w:ind w:left="1276" w:firstLine="0"/>
      </w:pPr>
    </w:lvl>
    <w:lvl w:ilvl="8" w:tentative="0">
      <w:start w:val="1"/>
      <w:numFmt w:val="none"/>
      <w:suff w:val="nothing"/>
      <w:lvlText w:val=""/>
      <w:lvlJc w:val="left"/>
      <w:pPr>
        <w:ind w:left="1276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717F3"/>
    <w:rsid w:val="035D3297"/>
    <w:rsid w:val="043835E4"/>
    <w:rsid w:val="05631A78"/>
    <w:rsid w:val="05784549"/>
    <w:rsid w:val="064D5B87"/>
    <w:rsid w:val="092D5147"/>
    <w:rsid w:val="0C2061D7"/>
    <w:rsid w:val="0CCE69DF"/>
    <w:rsid w:val="0CEB3470"/>
    <w:rsid w:val="10527ED1"/>
    <w:rsid w:val="108A7D4D"/>
    <w:rsid w:val="12475D4E"/>
    <w:rsid w:val="158C334A"/>
    <w:rsid w:val="15E11C04"/>
    <w:rsid w:val="162E1E58"/>
    <w:rsid w:val="16DE1EF4"/>
    <w:rsid w:val="17FC1639"/>
    <w:rsid w:val="18553612"/>
    <w:rsid w:val="18673CED"/>
    <w:rsid w:val="1ADE4EC3"/>
    <w:rsid w:val="1B0E4A1F"/>
    <w:rsid w:val="1B9B6500"/>
    <w:rsid w:val="1CD57083"/>
    <w:rsid w:val="1D8B1AD4"/>
    <w:rsid w:val="1F6D7F66"/>
    <w:rsid w:val="1FFA2A1F"/>
    <w:rsid w:val="245561A4"/>
    <w:rsid w:val="246F257D"/>
    <w:rsid w:val="26D1507C"/>
    <w:rsid w:val="27197184"/>
    <w:rsid w:val="279443C3"/>
    <w:rsid w:val="27DF0C8B"/>
    <w:rsid w:val="2AD961B6"/>
    <w:rsid w:val="2D994C40"/>
    <w:rsid w:val="2F467E42"/>
    <w:rsid w:val="2F955AF6"/>
    <w:rsid w:val="32092D8C"/>
    <w:rsid w:val="33122EA7"/>
    <w:rsid w:val="33381316"/>
    <w:rsid w:val="333D4071"/>
    <w:rsid w:val="34632880"/>
    <w:rsid w:val="34BB7790"/>
    <w:rsid w:val="35D306E2"/>
    <w:rsid w:val="38E42272"/>
    <w:rsid w:val="38EB1C62"/>
    <w:rsid w:val="399A3012"/>
    <w:rsid w:val="3A655E92"/>
    <w:rsid w:val="3AAF1923"/>
    <w:rsid w:val="3AB11BA2"/>
    <w:rsid w:val="3B241FBC"/>
    <w:rsid w:val="3DA05553"/>
    <w:rsid w:val="3E4D1456"/>
    <w:rsid w:val="420A53FB"/>
    <w:rsid w:val="42BC2FBE"/>
    <w:rsid w:val="42CE526A"/>
    <w:rsid w:val="4394562D"/>
    <w:rsid w:val="43960651"/>
    <w:rsid w:val="4848521A"/>
    <w:rsid w:val="49125049"/>
    <w:rsid w:val="4AAB0E07"/>
    <w:rsid w:val="4AFC4166"/>
    <w:rsid w:val="526772BA"/>
    <w:rsid w:val="53DE4316"/>
    <w:rsid w:val="560950E0"/>
    <w:rsid w:val="562148DD"/>
    <w:rsid w:val="562F1093"/>
    <w:rsid w:val="577235D2"/>
    <w:rsid w:val="57942C07"/>
    <w:rsid w:val="57BB500C"/>
    <w:rsid w:val="57EA3CAE"/>
    <w:rsid w:val="59313E2B"/>
    <w:rsid w:val="59367DF3"/>
    <w:rsid w:val="5BE03418"/>
    <w:rsid w:val="5CC8698A"/>
    <w:rsid w:val="5E0F60B1"/>
    <w:rsid w:val="60F2341C"/>
    <w:rsid w:val="62726394"/>
    <w:rsid w:val="63437162"/>
    <w:rsid w:val="640C789D"/>
    <w:rsid w:val="660D7A14"/>
    <w:rsid w:val="669E78F0"/>
    <w:rsid w:val="67E519C1"/>
    <w:rsid w:val="69E805B5"/>
    <w:rsid w:val="6B1B7ABD"/>
    <w:rsid w:val="6C0C2F25"/>
    <w:rsid w:val="6F7220DD"/>
    <w:rsid w:val="707E0239"/>
    <w:rsid w:val="72747C9E"/>
    <w:rsid w:val="735F0249"/>
    <w:rsid w:val="73CD24B9"/>
    <w:rsid w:val="75AF74A1"/>
    <w:rsid w:val="7CA94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99"/>
    <w:pPr>
      <w:keepNext/>
      <w:keepLines/>
      <w:widowControl w:val="0"/>
      <w:numPr>
        <w:ilvl w:val="1"/>
        <w:numId w:val="1"/>
      </w:numPr>
      <w:spacing w:before="260" w:after="260" w:line="412" w:lineRule="auto"/>
      <w:jc w:val="both"/>
      <w:outlineLvl w:val="1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1678</Words>
  <Characters>2768</Characters>
  <Lines>0</Lines>
  <Paragraphs>0</Paragraphs>
  <TotalTime>421</TotalTime>
  <ScaleCrop>false</ScaleCrop>
  <LinksUpToDate>false</LinksUpToDate>
  <CharactersWithSpaces>2931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2025-03-24T09:08:00Z</dcterms:created>
  <dc:creator>Administrator</dc:creator>
  <cp:lastModifiedBy>风景旧曾谙</cp:lastModifiedBy>
  <dcterms:modified xsi:type="dcterms:W3CDTF">2025-06-05T07:01:11Z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eyJoZGlkIjoiNTVhZTc0ZDUwNzk1ZjUwODcwMzY3OTRlZWNhNWUzOWIiLCJ1c2VySWQiOiIyNTI4NDI5MzAifQ==</vt:lpwstr>
  </property>
  <property fmtid="{D5CDD505-2E9C-101B-9397-08002B2CF9AE}" pid="4" name="ICV">
    <vt:lpwstr>68ADC28281AB49428E1A73828589EE1F_13</vt:lpwstr>
  </property>
</Properties>
</file>